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A7" w:rsidRPr="005D0253" w:rsidRDefault="008549A7">
      <w:pPr>
        <w:rPr>
          <w:rFonts w:asciiTheme="minorHAnsi" w:hAnsiTheme="minorHAnsi"/>
          <w:b/>
          <w:i/>
          <w:szCs w:val="24"/>
          <w:lang w:val="fr-FR"/>
        </w:rPr>
      </w:pPr>
    </w:p>
    <w:p w:rsidR="008549A7" w:rsidRPr="005D0253" w:rsidRDefault="008549A7">
      <w:pPr>
        <w:spacing w:line="280" w:lineRule="auto"/>
        <w:jc w:val="center"/>
        <w:rPr>
          <w:rFonts w:asciiTheme="minorHAnsi" w:hAnsiTheme="minorHAnsi"/>
          <w:color w:val="000000"/>
          <w:sz w:val="36"/>
          <w:szCs w:val="24"/>
          <w:lang w:val="fr-FR"/>
        </w:rPr>
      </w:pPr>
      <w:r w:rsidRPr="005D0253">
        <w:rPr>
          <w:rFonts w:asciiTheme="minorHAnsi" w:hAnsiTheme="minorHAnsi"/>
          <w:color w:val="000000"/>
          <w:sz w:val="36"/>
          <w:szCs w:val="24"/>
          <w:lang w:val="fr-FR"/>
        </w:rPr>
        <w:t>ACO Inox</w:t>
      </w:r>
    </w:p>
    <w:p w:rsidR="008549A7" w:rsidRPr="005D0253" w:rsidRDefault="008549A7">
      <w:pPr>
        <w:spacing w:line="280" w:lineRule="auto"/>
        <w:jc w:val="center"/>
        <w:rPr>
          <w:rFonts w:asciiTheme="minorHAnsi" w:hAnsiTheme="minorHAnsi"/>
          <w:color w:val="000000"/>
          <w:sz w:val="36"/>
          <w:szCs w:val="24"/>
          <w:lang w:val="fr-FR"/>
        </w:rPr>
      </w:pPr>
      <w:r w:rsidRPr="005D0253">
        <w:rPr>
          <w:rFonts w:asciiTheme="minorHAnsi" w:hAnsiTheme="minorHAnsi"/>
          <w:color w:val="000000"/>
          <w:sz w:val="36"/>
          <w:szCs w:val="24"/>
          <w:lang w:val="fr-FR"/>
        </w:rPr>
        <w:t>« Une gamme d</w:t>
      </w:r>
      <w:r w:rsidR="005D0253">
        <w:rPr>
          <w:rFonts w:asciiTheme="minorHAnsi" w:hAnsiTheme="minorHAnsi"/>
          <w:color w:val="000000"/>
          <w:sz w:val="36"/>
          <w:szCs w:val="24"/>
          <w:lang w:val="fr-FR"/>
        </w:rPr>
        <w:t>’</w:t>
      </w:r>
      <w:r w:rsidRPr="005D0253">
        <w:rPr>
          <w:rFonts w:asciiTheme="minorHAnsi" w:hAnsiTheme="minorHAnsi"/>
          <w:color w:val="000000"/>
          <w:sz w:val="36"/>
          <w:szCs w:val="24"/>
          <w:lang w:val="fr-FR"/>
        </w:rPr>
        <w:t xml:space="preserve">avaloirs en inox étanches </w:t>
      </w:r>
      <w:r w:rsidR="005D0253">
        <w:rPr>
          <w:rFonts w:asciiTheme="minorHAnsi" w:hAnsiTheme="minorHAnsi"/>
          <w:color w:val="000000"/>
          <w:sz w:val="36"/>
          <w:szCs w:val="24"/>
          <w:lang w:val="fr-FR"/>
        </w:rPr>
        <w:br/>
      </w:r>
      <w:r w:rsidRPr="005D0253">
        <w:rPr>
          <w:rFonts w:asciiTheme="minorHAnsi" w:hAnsiTheme="minorHAnsi"/>
          <w:color w:val="000000"/>
          <w:sz w:val="36"/>
          <w:szCs w:val="24"/>
          <w:lang w:val="fr-FR"/>
        </w:rPr>
        <w:t>contre la dégradation du béton »</w:t>
      </w:r>
    </w:p>
    <w:p w:rsidR="008549A7" w:rsidRPr="005D0253" w:rsidRDefault="008549A7">
      <w:pPr>
        <w:rPr>
          <w:rFonts w:asciiTheme="minorHAnsi" w:hAnsiTheme="minorHAnsi"/>
          <w:szCs w:val="24"/>
          <w:lang w:val="fr-FR"/>
        </w:rPr>
      </w:pPr>
    </w:p>
    <w:p w:rsidR="008549A7" w:rsidRPr="005D0253" w:rsidRDefault="008549A7">
      <w:pPr>
        <w:spacing w:line="280" w:lineRule="auto"/>
        <w:jc w:val="both"/>
        <w:rPr>
          <w:rFonts w:asciiTheme="minorHAnsi" w:hAnsiTheme="minorHAnsi"/>
          <w:szCs w:val="24"/>
          <w:lang w:val="fr-FR"/>
        </w:rPr>
      </w:pPr>
      <w:r w:rsidRPr="005D0253">
        <w:rPr>
          <w:rFonts w:asciiTheme="minorHAnsi" w:hAnsiTheme="minorHAnsi"/>
          <w:szCs w:val="24"/>
          <w:lang w:val="fr-FR"/>
        </w:rPr>
        <w:t>En collaboration avec des fabricants importants de membranes d</w:t>
      </w:r>
      <w:r w:rsidR="005D0253">
        <w:rPr>
          <w:rFonts w:asciiTheme="minorHAnsi" w:hAnsiTheme="minorHAnsi"/>
          <w:szCs w:val="24"/>
          <w:lang w:val="fr-FR"/>
        </w:rPr>
        <w:t>’</w:t>
      </w:r>
      <w:r w:rsidRPr="005D0253">
        <w:rPr>
          <w:rFonts w:asciiTheme="minorHAnsi" w:hAnsiTheme="minorHAnsi"/>
          <w:szCs w:val="24"/>
          <w:lang w:val="fr-FR"/>
        </w:rPr>
        <w:t>étanchéité, ACO a développé une réponse efficace et durable à la problématique des dégâts imputables à l</w:t>
      </w:r>
      <w:r w:rsidR="005D0253">
        <w:rPr>
          <w:rFonts w:asciiTheme="minorHAnsi" w:hAnsiTheme="minorHAnsi"/>
          <w:szCs w:val="24"/>
          <w:lang w:val="fr-FR"/>
        </w:rPr>
        <w:t>’</w:t>
      </w:r>
      <w:r w:rsidRPr="005D0253">
        <w:rPr>
          <w:rFonts w:asciiTheme="minorHAnsi" w:hAnsiTheme="minorHAnsi"/>
          <w:szCs w:val="24"/>
          <w:lang w:val="fr-FR"/>
        </w:rPr>
        <w:t>eau stagnante ou d</w:t>
      </w:r>
      <w:r w:rsidR="005D0253">
        <w:rPr>
          <w:rFonts w:asciiTheme="minorHAnsi" w:hAnsiTheme="minorHAnsi"/>
          <w:szCs w:val="24"/>
          <w:lang w:val="fr-FR"/>
        </w:rPr>
        <w:t>’</w:t>
      </w:r>
      <w:r w:rsidRPr="005D0253">
        <w:rPr>
          <w:rFonts w:asciiTheme="minorHAnsi" w:hAnsiTheme="minorHAnsi"/>
          <w:szCs w:val="24"/>
          <w:lang w:val="fr-FR"/>
        </w:rPr>
        <w:t>infiltration. Ces dégradations sont un véritable cancer qui nuit gravement aussi bien à la stabilité qu</w:t>
      </w:r>
      <w:r w:rsidR="005D0253">
        <w:rPr>
          <w:rFonts w:asciiTheme="minorHAnsi" w:hAnsiTheme="minorHAnsi"/>
          <w:szCs w:val="24"/>
          <w:lang w:val="fr-FR"/>
        </w:rPr>
        <w:t>’</w:t>
      </w:r>
      <w:r w:rsidRPr="005D0253">
        <w:rPr>
          <w:rFonts w:asciiTheme="minorHAnsi" w:hAnsiTheme="minorHAnsi"/>
          <w:szCs w:val="24"/>
          <w:lang w:val="fr-FR"/>
        </w:rPr>
        <w:t>à l</w:t>
      </w:r>
      <w:r w:rsidR="005D0253">
        <w:rPr>
          <w:rFonts w:asciiTheme="minorHAnsi" w:hAnsiTheme="minorHAnsi"/>
          <w:szCs w:val="24"/>
          <w:lang w:val="fr-FR"/>
        </w:rPr>
        <w:t>’</w:t>
      </w:r>
      <w:r w:rsidRPr="005D0253">
        <w:rPr>
          <w:rFonts w:asciiTheme="minorHAnsi" w:hAnsiTheme="minorHAnsi"/>
          <w:szCs w:val="24"/>
          <w:lang w:val="fr-FR"/>
        </w:rPr>
        <w:t>esthétique des bâtiments. ACO propose une gamme étendue et forte d</w:t>
      </w:r>
      <w:r w:rsidR="005D0253">
        <w:rPr>
          <w:rFonts w:asciiTheme="minorHAnsi" w:hAnsiTheme="minorHAnsi"/>
          <w:szCs w:val="24"/>
          <w:lang w:val="fr-FR"/>
        </w:rPr>
        <w:t>’</w:t>
      </w:r>
      <w:r w:rsidRPr="005D0253">
        <w:rPr>
          <w:rFonts w:asciiTheme="minorHAnsi" w:hAnsiTheme="minorHAnsi"/>
          <w:szCs w:val="24"/>
          <w:lang w:val="fr-FR"/>
        </w:rPr>
        <w:t>applications pour balcons, garages, parkings et esplanades.</w:t>
      </w:r>
    </w:p>
    <w:p w:rsidR="008549A7" w:rsidRPr="005D0253" w:rsidRDefault="008549A7">
      <w:pPr>
        <w:spacing w:line="280" w:lineRule="auto"/>
        <w:jc w:val="both"/>
        <w:rPr>
          <w:rFonts w:asciiTheme="minorHAnsi" w:hAnsiTheme="minorHAnsi"/>
          <w:szCs w:val="24"/>
          <w:lang w:val="fr-FR"/>
        </w:rPr>
      </w:pPr>
      <w:r w:rsidRPr="005D0253">
        <w:rPr>
          <w:rFonts w:asciiTheme="minorHAnsi" w:hAnsiTheme="minorHAnsi"/>
          <w:szCs w:val="24"/>
          <w:lang w:val="fr-FR"/>
        </w:rPr>
        <w:t>Des recherches approfondies démontrent que l</w:t>
      </w:r>
      <w:r w:rsidR="005D0253">
        <w:rPr>
          <w:rFonts w:asciiTheme="minorHAnsi" w:hAnsiTheme="minorHAnsi"/>
          <w:szCs w:val="24"/>
          <w:lang w:val="fr-FR"/>
        </w:rPr>
        <w:t>’</w:t>
      </w:r>
      <w:r w:rsidRPr="005D0253">
        <w:rPr>
          <w:rFonts w:asciiTheme="minorHAnsi" w:hAnsiTheme="minorHAnsi"/>
          <w:szCs w:val="24"/>
          <w:lang w:val="fr-FR"/>
        </w:rPr>
        <w:t>inox (AISI 304) ou acier inoxydable est le seul matériau auquel les membranes d</w:t>
      </w:r>
      <w:r w:rsidR="005D0253">
        <w:rPr>
          <w:rFonts w:asciiTheme="minorHAnsi" w:hAnsiTheme="minorHAnsi"/>
          <w:szCs w:val="24"/>
          <w:lang w:val="fr-FR"/>
        </w:rPr>
        <w:t>’</w:t>
      </w:r>
      <w:r w:rsidRPr="005D0253">
        <w:rPr>
          <w:rFonts w:asciiTheme="minorHAnsi" w:hAnsiTheme="minorHAnsi"/>
          <w:szCs w:val="24"/>
          <w:lang w:val="fr-FR"/>
        </w:rPr>
        <w:t xml:space="preserve">étanchéité adhèrent parfaitement et très longtemps. </w:t>
      </w:r>
    </w:p>
    <w:p w:rsidR="008549A7" w:rsidRPr="005D0253" w:rsidRDefault="008549A7">
      <w:pPr>
        <w:spacing w:line="280" w:lineRule="auto"/>
        <w:jc w:val="both"/>
        <w:rPr>
          <w:rFonts w:asciiTheme="minorHAnsi" w:hAnsiTheme="minorHAnsi"/>
          <w:szCs w:val="24"/>
          <w:lang w:val="fr-FR"/>
        </w:rPr>
      </w:pPr>
      <w:r w:rsidRPr="005D0253">
        <w:rPr>
          <w:rFonts w:asciiTheme="minorHAnsi" w:hAnsiTheme="minorHAnsi"/>
          <w:szCs w:val="24"/>
          <w:lang w:val="fr-FR"/>
        </w:rPr>
        <w:t>C</w:t>
      </w:r>
      <w:r w:rsidR="005D0253">
        <w:rPr>
          <w:rFonts w:asciiTheme="minorHAnsi" w:hAnsiTheme="minorHAnsi"/>
          <w:szCs w:val="24"/>
          <w:lang w:val="fr-FR"/>
        </w:rPr>
        <w:t>’</w:t>
      </w:r>
      <w:r w:rsidRPr="005D0253">
        <w:rPr>
          <w:rFonts w:asciiTheme="minorHAnsi" w:hAnsiTheme="minorHAnsi"/>
          <w:szCs w:val="24"/>
          <w:lang w:val="fr-FR"/>
        </w:rPr>
        <w:t>est la raison pour laquelle ACO a développé une gamme d</w:t>
      </w:r>
      <w:r w:rsidR="005D0253">
        <w:rPr>
          <w:rFonts w:asciiTheme="minorHAnsi" w:hAnsiTheme="minorHAnsi"/>
          <w:szCs w:val="24"/>
          <w:lang w:val="fr-FR"/>
        </w:rPr>
        <w:t>’</w:t>
      </w:r>
      <w:r w:rsidRPr="005D0253">
        <w:rPr>
          <w:rFonts w:asciiTheme="minorHAnsi" w:hAnsiTheme="minorHAnsi"/>
          <w:szCs w:val="24"/>
          <w:lang w:val="fr-FR"/>
        </w:rPr>
        <w:t xml:space="preserve">avaloirs en inox avec de larges </w:t>
      </w:r>
      <w:r w:rsidR="00C842FA" w:rsidRPr="005D0253">
        <w:rPr>
          <w:rFonts w:asciiTheme="minorHAnsi" w:hAnsiTheme="minorHAnsi"/>
          <w:szCs w:val="24"/>
          <w:lang w:val="fr-FR"/>
        </w:rPr>
        <w:t>cadres d</w:t>
      </w:r>
      <w:r w:rsidR="005D0253">
        <w:rPr>
          <w:rFonts w:asciiTheme="minorHAnsi" w:hAnsiTheme="minorHAnsi"/>
          <w:szCs w:val="24"/>
          <w:lang w:val="fr-FR"/>
        </w:rPr>
        <w:t>’</w:t>
      </w:r>
      <w:r w:rsidR="00C842FA" w:rsidRPr="005D0253">
        <w:rPr>
          <w:rFonts w:asciiTheme="minorHAnsi" w:hAnsiTheme="minorHAnsi"/>
          <w:szCs w:val="24"/>
          <w:lang w:val="fr-FR"/>
        </w:rPr>
        <w:t>encollage</w:t>
      </w:r>
      <w:r w:rsidRPr="005D0253">
        <w:rPr>
          <w:rFonts w:asciiTheme="minorHAnsi" w:hAnsiTheme="minorHAnsi"/>
          <w:szCs w:val="24"/>
          <w:lang w:val="fr-FR"/>
        </w:rPr>
        <w:t xml:space="preserve"> pour une adhérence optimale de la membrane d</w:t>
      </w:r>
      <w:r w:rsidR="005D0253">
        <w:rPr>
          <w:rFonts w:asciiTheme="minorHAnsi" w:hAnsiTheme="minorHAnsi"/>
          <w:szCs w:val="24"/>
          <w:lang w:val="fr-FR"/>
        </w:rPr>
        <w:t>’</w:t>
      </w:r>
      <w:r w:rsidR="00654E11">
        <w:rPr>
          <w:rFonts w:asciiTheme="minorHAnsi" w:hAnsiTheme="minorHAnsi"/>
          <w:szCs w:val="24"/>
          <w:lang w:val="fr-FR"/>
        </w:rPr>
        <w:t>étanchéité</w:t>
      </w:r>
      <w:r w:rsidRPr="005D0253">
        <w:rPr>
          <w:rFonts w:asciiTheme="minorHAnsi" w:hAnsiTheme="minorHAnsi"/>
          <w:szCs w:val="24"/>
          <w:lang w:val="fr-FR"/>
        </w:rPr>
        <w:t xml:space="preserve"> et</w:t>
      </w:r>
      <w:r w:rsidR="00654E11">
        <w:rPr>
          <w:rFonts w:asciiTheme="minorHAnsi" w:hAnsiTheme="minorHAnsi"/>
          <w:szCs w:val="24"/>
          <w:lang w:val="fr-FR"/>
        </w:rPr>
        <w:t>,</w:t>
      </w:r>
      <w:r w:rsidRPr="005D0253">
        <w:rPr>
          <w:rFonts w:asciiTheme="minorHAnsi" w:hAnsiTheme="minorHAnsi"/>
          <w:szCs w:val="24"/>
          <w:lang w:val="fr-FR"/>
        </w:rPr>
        <w:t xml:space="preserve"> ce, pour un certain nombre d</w:t>
      </w:r>
      <w:r w:rsidR="005D0253">
        <w:rPr>
          <w:rFonts w:asciiTheme="minorHAnsi" w:hAnsiTheme="minorHAnsi"/>
          <w:szCs w:val="24"/>
          <w:lang w:val="fr-FR"/>
        </w:rPr>
        <w:t>’</w:t>
      </w:r>
      <w:r w:rsidRPr="005D0253">
        <w:rPr>
          <w:rFonts w:asciiTheme="minorHAnsi" w:hAnsiTheme="minorHAnsi"/>
          <w:szCs w:val="24"/>
          <w:lang w:val="fr-FR"/>
        </w:rPr>
        <w:t xml:space="preserve">applications spécifiques. </w:t>
      </w:r>
    </w:p>
    <w:p w:rsidR="008549A7" w:rsidRPr="005D0253" w:rsidRDefault="008549A7">
      <w:pPr>
        <w:spacing w:line="280" w:lineRule="auto"/>
        <w:jc w:val="both"/>
        <w:rPr>
          <w:rFonts w:asciiTheme="minorHAnsi" w:hAnsiTheme="minorHAnsi"/>
          <w:szCs w:val="24"/>
          <w:lang w:val="fr-FR"/>
        </w:rPr>
      </w:pPr>
      <w:r w:rsidRPr="005D0253">
        <w:rPr>
          <w:rFonts w:asciiTheme="minorHAnsi" w:hAnsiTheme="minorHAnsi"/>
          <w:szCs w:val="24"/>
          <w:lang w:val="fr-FR"/>
        </w:rPr>
        <w:t>La gamme d</w:t>
      </w:r>
      <w:r w:rsidR="005D0253">
        <w:rPr>
          <w:rFonts w:asciiTheme="minorHAnsi" w:hAnsiTheme="minorHAnsi"/>
          <w:szCs w:val="24"/>
          <w:lang w:val="fr-FR"/>
        </w:rPr>
        <w:t>’</w:t>
      </w:r>
      <w:r w:rsidRPr="005D0253">
        <w:rPr>
          <w:rFonts w:asciiTheme="minorHAnsi" w:hAnsiTheme="minorHAnsi"/>
          <w:b/>
          <w:szCs w:val="24"/>
          <w:lang w:val="fr-FR"/>
        </w:rPr>
        <w:t>avaloirs pour balcons</w:t>
      </w:r>
      <w:r w:rsidRPr="005D0253">
        <w:rPr>
          <w:rFonts w:asciiTheme="minorHAnsi" w:hAnsiTheme="minorHAnsi"/>
          <w:szCs w:val="24"/>
          <w:lang w:val="fr-FR"/>
        </w:rPr>
        <w:t xml:space="preserve"> en inox est à présent complétée par des applications pour </w:t>
      </w:r>
      <w:r w:rsidRPr="005D0253">
        <w:rPr>
          <w:rFonts w:asciiTheme="minorHAnsi" w:hAnsiTheme="minorHAnsi"/>
          <w:b/>
          <w:szCs w:val="24"/>
          <w:lang w:val="fr-FR"/>
        </w:rPr>
        <w:t>garages</w:t>
      </w:r>
      <w:r w:rsidRPr="005D0253">
        <w:rPr>
          <w:rFonts w:asciiTheme="minorHAnsi" w:hAnsiTheme="minorHAnsi"/>
          <w:szCs w:val="24"/>
          <w:lang w:val="fr-FR"/>
        </w:rPr>
        <w:t xml:space="preserve"> à raccorder à des systèmes d</w:t>
      </w:r>
      <w:r w:rsidR="005D0253">
        <w:rPr>
          <w:rFonts w:asciiTheme="minorHAnsi" w:hAnsiTheme="minorHAnsi"/>
          <w:szCs w:val="24"/>
          <w:lang w:val="fr-FR"/>
        </w:rPr>
        <w:t>’</w:t>
      </w:r>
      <w:r w:rsidRPr="005D0253">
        <w:rPr>
          <w:rFonts w:asciiTheme="minorHAnsi" w:hAnsiTheme="minorHAnsi"/>
          <w:szCs w:val="24"/>
          <w:lang w:val="fr-FR"/>
        </w:rPr>
        <w:t xml:space="preserve">étanchéité (classe M 125 kN, véhicules légers ou de tourisme), un </w:t>
      </w:r>
      <w:r w:rsidRPr="005D0253">
        <w:rPr>
          <w:rFonts w:asciiTheme="minorHAnsi" w:hAnsiTheme="minorHAnsi"/>
          <w:b/>
          <w:szCs w:val="24"/>
          <w:lang w:val="fr-FR"/>
        </w:rPr>
        <w:t>caniveau de drainage pour esplanade</w:t>
      </w:r>
      <w:r w:rsidR="00654E11">
        <w:rPr>
          <w:rFonts w:asciiTheme="minorHAnsi" w:hAnsiTheme="minorHAnsi"/>
          <w:b/>
          <w:szCs w:val="24"/>
          <w:lang w:val="fr-FR"/>
        </w:rPr>
        <w:t>s</w:t>
      </w:r>
      <w:r w:rsidRPr="005D0253">
        <w:rPr>
          <w:rFonts w:asciiTheme="minorHAnsi" w:hAnsiTheme="minorHAnsi"/>
          <w:szCs w:val="24"/>
          <w:lang w:val="fr-FR"/>
        </w:rPr>
        <w:t xml:space="preserve"> (classe L 15 </w:t>
      </w:r>
      <w:proofErr w:type="spellStart"/>
      <w:r w:rsidRPr="005D0253">
        <w:rPr>
          <w:rFonts w:asciiTheme="minorHAnsi" w:hAnsiTheme="minorHAnsi"/>
          <w:szCs w:val="24"/>
          <w:lang w:val="fr-FR"/>
        </w:rPr>
        <w:t>kN</w:t>
      </w:r>
      <w:proofErr w:type="spellEnd"/>
      <w:r w:rsidRPr="005D0253">
        <w:rPr>
          <w:rFonts w:asciiTheme="minorHAnsi" w:hAnsiTheme="minorHAnsi"/>
          <w:szCs w:val="24"/>
          <w:lang w:val="fr-FR"/>
        </w:rPr>
        <w:t xml:space="preserve">, </w:t>
      </w:r>
      <w:r w:rsidR="00654E11">
        <w:rPr>
          <w:rFonts w:asciiTheme="minorHAnsi" w:hAnsiTheme="minorHAnsi"/>
          <w:szCs w:val="24"/>
          <w:lang w:val="fr-FR"/>
        </w:rPr>
        <w:t>trafic piétonnier</w:t>
      </w:r>
      <w:r w:rsidRPr="005D0253">
        <w:rPr>
          <w:rFonts w:asciiTheme="minorHAnsi" w:hAnsiTheme="minorHAnsi"/>
          <w:szCs w:val="24"/>
          <w:lang w:val="fr-FR"/>
        </w:rPr>
        <w:t xml:space="preserve">) et un </w:t>
      </w:r>
      <w:r w:rsidRPr="005D0253">
        <w:rPr>
          <w:rFonts w:asciiTheme="minorHAnsi" w:hAnsiTheme="minorHAnsi"/>
          <w:b/>
          <w:szCs w:val="24"/>
          <w:lang w:val="fr-FR"/>
        </w:rPr>
        <w:t>caniveau de drainage de parking</w:t>
      </w:r>
      <w:r w:rsidRPr="005D0253">
        <w:rPr>
          <w:rFonts w:asciiTheme="minorHAnsi" w:hAnsiTheme="minorHAnsi"/>
          <w:szCs w:val="24"/>
          <w:lang w:val="fr-FR"/>
        </w:rPr>
        <w:t xml:space="preserve"> (classe C 250 kN, véhicules lourds).</w:t>
      </w:r>
    </w:p>
    <w:p w:rsidR="008549A7" w:rsidRPr="005D0253" w:rsidRDefault="008549A7">
      <w:pPr>
        <w:spacing w:line="280" w:lineRule="auto"/>
        <w:rPr>
          <w:rFonts w:asciiTheme="minorHAnsi" w:hAnsiTheme="minorHAnsi"/>
          <w:szCs w:val="24"/>
          <w:lang w:val="fr-FR"/>
        </w:rPr>
      </w:pPr>
      <w:r w:rsidRPr="005D0253">
        <w:rPr>
          <w:rFonts w:asciiTheme="minorHAnsi" w:hAnsiTheme="minorHAnsi"/>
          <w:szCs w:val="24"/>
          <w:lang w:val="fr-FR"/>
        </w:rPr>
        <w:t>Découvrez l</w:t>
      </w:r>
      <w:r w:rsidR="005D0253">
        <w:rPr>
          <w:rFonts w:asciiTheme="minorHAnsi" w:hAnsiTheme="minorHAnsi"/>
          <w:szCs w:val="24"/>
          <w:lang w:val="fr-FR"/>
        </w:rPr>
        <w:t>’</w:t>
      </w:r>
      <w:r w:rsidRPr="005D0253">
        <w:rPr>
          <w:rFonts w:asciiTheme="minorHAnsi" w:hAnsiTheme="minorHAnsi"/>
          <w:szCs w:val="24"/>
          <w:lang w:val="fr-FR"/>
        </w:rPr>
        <w:t xml:space="preserve">offre sur </w:t>
      </w:r>
      <w:r w:rsidRPr="005D0253">
        <w:rPr>
          <w:rFonts w:asciiTheme="minorHAnsi" w:hAnsiTheme="minorHAnsi"/>
          <w:b/>
          <w:szCs w:val="24"/>
          <w:lang w:val="fr-FR"/>
        </w:rPr>
        <w:t>www.a</w:t>
      </w:r>
      <w:r w:rsidR="005D0253" w:rsidRPr="005D0253">
        <w:rPr>
          <w:rFonts w:asciiTheme="minorHAnsi" w:hAnsiTheme="minorHAnsi"/>
          <w:b/>
          <w:szCs w:val="24"/>
          <w:lang w:val="fr-FR"/>
        </w:rPr>
        <w:t>co.be</w:t>
      </w:r>
    </w:p>
    <w:p w:rsidR="008549A7" w:rsidRPr="008549A7" w:rsidRDefault="008549A7">
      <w:pPr>
        <w:rPr>
          <w:rFonts w:ascii="Arial" w:hAnsi="Arial"/>
          <w:szCs w:val="24"/>
          <w:lang w:val="fr-FR"/>
        </w:rPr>
      </w:pPr>
    </w:p>
    <w:sectPr w:rsidR="008549A7" w:rsidRPr="00854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62" w:rsidRPr="008549A7" w:rsidRDefault="00810262">
      <w:pPr>
        <w:spacing w:after="0" w:line="240" w:lineRule="auto"/>
        <w:rPr>
          <w:szCs w:val="24"/>
        </w:rPr>
      </w:pPr>
      <w:r w:rsidRPr="008549A7">
        <w:rPr>
          <w:szCs w:val="24"/>
        </w:rPr>
        <w:separator/>
      </w:r>
    </w:p>
  </w:endnote>
  <w:endnote w:type="continuationSeparator" w:id="0">
    <w:p w:rsidR="00810262" w:rsidRPr="008549A7" w:rsidRDefault="00810262">
      <w:pPr>
        <w:spacing w:after="0" w:line="240" w:lineRule="auto"/>
        <w:rPr>
          <w:szCs w:val="24"/>
        </w:rPr>
      </w:pPr>
      <w:r w:rsidRPr="008549A7"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11" w:rsidRDefault="00654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A7" w:rsidRPr="000B1F16" w:rsidRDefault="00654E11">
    <w:pPr>
      <w:pStyle w:val="Footer"/>
      <w:jc w:val="center"/>
      <w:rPr>
        <w:sz w:val="20"/>
        <w:szCs w:val="24"/>
        <w:lang w:val="pt-PT"/>
      </w:rPr>
    </w:pPr>
    <w:r>
      <w:rPr>
        <w:b/>
        <w:color w:val="000000"/>
        <w:sz w:val="20"/>
        <w:szCs w:val="24"/>
        <w:lang w:val="pt-PT"/>
      </w:rPr>
      <w:t>ACO Passavant S.A</w:t>
    </w:r>
    <w:r w:rsidR="008549A7" w:rsidRPr="000B1F16">
      <w:rPr>
        <w:b/>
        <w:color w:val="000000"/>
        <w:sz w:val="20"/>
        <w:szCs w:val="24"/>
        <w:lang w:val="pt-PT"/>
      </w:rPr>
      <w:t>. | Preenakker 8, 1785 Merchtem | T. 052/38.17.70</w:t>
    </w:r>
    <w:bookmarkStart w:id="0" w:name="_GoBack"/>
    <w:bookmarkEnd w:id="0"/>
    <w:r w:rsidR="008549A7" w:rsidRPr="000B1F16">
      <w:rPr>
        <w:b/>
        <w:color w:val="000000"/>
        <w:sz w:val="20"/>
        <w:szCs w:val="24"/>
        <w:lang w:val="pt-PT"/>
      </w:rPr>
      <w:t xml:space="preserve"> | </w:t>
    </w:r>
    <w:hyperlink r:id="rId1" w:history="1">
      <w:r w:rsidR="008549A7" w:rsidRPr="000B1F16">
        <w:rPr>
          <w:rStyle w:val="Hyperlink"/>
          <w:b/>
          <w:sz w:val="20"/>
          <w:szCs w:val="24"/>
          <w:lang w:val="pt-PT"/>
        </w:rPr>
        <w:t>info@aco.be</w:t>
      </w:r>
    </w:hyperlink>
    <w:r w:rsidR="008549A7" w:rsidRPr="000B1F16">
      <w:rPr>
        <w:b/>
        <w:color w:val="000000"/>
        <w:sz w:val="20"/>
        <w:szCs w:val="24"/>
        <w:lang w:val="pt-PT"/>
      </w:rPr>
      <w:t xml:space="preserve"> </w:t>
    </w:r>
    <w:r w:rsidRPr="000B1F16">
      <w:rPr>
        <w:b/>
        <w:color w:val="000000"/>
        <w:sz w:val="20"/>
        <w:szCs w:val="24"/>
        <w:lang w:val="pt-PT"/>
      </w:rPr>
      <w:t xml:space="preserve">| </w:t>
    </w:r>
    <w:r>
      <w:rPr>
        <w:b/>
        <w:color w:val="000000"/>
        <w:sz w:val="20"/>
        <w:szCs w:val="24"/>
        <w:lang w:val="pt-PT"/>
      </w:rPr>
      <w:t>www.aco.be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11" w:rsidRDefault="00654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62" w:rsidRPr="008549A7" w:rsidRDefault="00810262">
      <w:pPr>
        <w:spacing w:after="0" w:line="240" w:lineRule="auto"/>
        <w:rPr>
          <w:szCs w:val="24"/>
        </w:rPr>
      </w:pPr>
      <w:r w:rsidRPr="008549A7">
        <w:rPr>
          <w:szCs w:val="24"/>
        </w:rPr>
        <w:separator/>
      </w:r>
    </w:p>
  </w:footnote>
  <w:footnote w:type="continuationSeparator" w:id="0">
    <w:p w:rsidR="00810262" w:rsidRPr="008549A7" w:rsidRDefault="00810262">
      <w:pPr>
        <w:spacing w:after="0" w:line="240" w:lineRule="auto"/>
        <w:rPr>
          <w:szCs w:val="24"/>
        </w:rPr>
      </w:pPr>
      <w:r w:rsidRPr="008549A7"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11" w:rsidRDefault="00654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A7" w:rsidRPr="008549A7" w:rsidRDefault="008549A7">
    <w:pPr>
      <w:pStyle w:val="Header"/>
      <w:tabs>
        <w:tab w:val="clear" w:pos="4536"/>
        <w:tab w:val="clear" w:pos="9072"/>
        <w:tab w:val="right" w:pos="9214"/>
      </w:tabs>
      <w:jc w:val="center"/>
      <w:rPr>
        <w:sz w:val="20"/>
        <w:szCs w:val="24"/>
        <w:lang w:val="nl-BE"/>
      </w:rPr>
    </w:pPr>
    <w:r w:rsidRPr="008549A7">
      <w:rPr>
        <w:sz w:val="20"/>
        <w:szCs w:val="24"/>
        <w:lang w:val="fr-FR"/>
      </w:rPr>
      <w:t>COMMUNIQUÉ DE PRESSE</w:t>
    </w:r>
    <w:r w:rsidR="00654E11">
      <w:rPr>
        <w:sz w:val="20"/>
        <w:szCs w:val="24"/>
        <w:lang w:val="nl-BE"/>
      </w:rPr>
      <w:tab/>
    </w:r>
    <w:r w:rsidR="00654E11">
      <w:rPr>
        <w:sz w:val="20"/>
        <w:szCs w:val="24"/>
        <w:lang w:val="nl-BE"/>
      </w:rPr>
      <w:t>24</w:t>
    </w:r>
    <w:r w:rsidRPr="008549A7">
      <w:rPr>
        <w:sz w:val="20"/>
        <w:szCs w:val="24"/>
        <w:lang w:val="nl-BE"/>
      </w:rPr>
      <w:t>/06/2016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11" w:rsidRDefault="00654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77147"/>
    <w:multiLevelType w:val="hybridMultilevel"/>
    <w:tmpl w:val="F89C322E"/>
    <w:lvl w:ilvl="0" w:tplc="D5ACD5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3C3C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872CA"/>
    <w:multiLevelType w:val="hybridMultilevel"/>
    <w:tmpl w:val="988217B6"/>
    <w:lvl w:ilvl="0" w:tplc="D5ACD5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3C3C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D9"/>
    <w:rsid w:val="00052C03"/>
    <w:rsid w:val="00066BDD"/>
    <w:rsid w:val="000708C8"/>
    <w:rsid w:val="000768A1"/>
    <w:rsid w:val="0008149E"/>
    <w:rsid w:val="000839E1"/>
    <w:rsid w:val="000B1F16"/>
    <w:rsid w:val="000B25A4"/>
    <w:rsid w:val="000D4E28"/>
    <w:rsid w:val="000E2EE1"/>
    <w:rsid w:val="001176BE"/>
    <w:rsid w:val="001302D9"/>
    <w:rsid w:val="00141A14"/>
    <w:rsid w:val="00185EFA"/>
    <w:rsid w:val="00197375"/>
    <w:rsid w:val="001C11E7"/>
    <w:rsid w:val="001E763E"/>
    <w:rsid w:val="001F517B"/>
    <w:rsid w:val="001F7D75"/>
    <w:rsid w:val="00276B44"/>
    <w:rsid w:val="002C4A4B"/>
    <w:rsid w:val="002D2989"/>
    <w:rsid w:val="002E2EE8"/>
    <w:rsid w:val="002E5E5E"/>
    <w:rsid w:val="00302017"/>
    <w:rsid w:val="00307177"/>
    <w:rsid w:val="00310006"/>
    <w:rsid w:val="00335B56"/>
    <w:rsid w:val="003672F3"/>
    <w:rsid w:val="00392286"/>
    <w:rsid w:val="00392635"/>
    <w:rsid w:val="00440ED4"/>
    <w:rsid w:val="004765E1"/>
    <w:rsid w:val="00484BAA"/>
    <w:rsid w:val="004B3644"/>
    <w:rsid w:val="004C7053"/>
    <w:rsid w:val="00501E55"/>
    <w:rsid w:val="00513E76"/>
    <w:rsid w:val="00521E2B"/>
    <w:rsid w:val="00522145"/>
    <w:rsid w:val="00524819"/>
    <w:rsid w:val="005676ED"/>
    <w:rsid w:val="005D0253"/>
    <w:rsid w:val="00623E82"/>
    <w:rsid w:val="00631754"/>
    <w:rsid w:val="006401D3"/>
    <w:rsid w:val="00654E11"/>
    <w:rsid w:val="0066332B"/>
    <w:rsid w:val="006A1089"/>
    <w:rsid w:val="006A282F"/>
    <w:rsid w:val="006C2692"/>
    <w:rsid w:val="006D59F2"/>
    <w:rsid w:val="006E15E9"/>
    <w:rsid w:val="006E1A19"/>
    <w:rsid w:val="006E32E7"/>
    <w:rsid w:val="00736C01"/>
    <w:rsid w:val="00737090"/>
    <w:rsid w:val="0074116E"/>
    <w:rsid w:val="007C404C"/>
    <w:rsid w:val="007C5B82"/>
    <w:rsid w:val="007E4056"/>
    <w:rsid w:val="007E670E"/>
    <w:rsid w:val="008070B6"/>
    <w:rsid w:val="00810262"/>
    <w:rsid w:val="0082391B"/>
    <w:rsid w:val="00833E6B"/>
    <w:rsid w:val="008549A7"/>
    <w:rsid w:val="008D06A5"/>
    <w:rsid w:val="008D4047"/>
    <w:rsid w:val="008D548E"/>
    <w:rsid w:val="00930B94"/>
    <w:rsid w:val="00970322"/>
    <w:rsid w:val="00993704"/>
    <w:rsid w:val="009A3B11"/>
    <w:rsid w:val="009A53A8"/>
    <w:rsid w:val="009B51CC"/>
    <w:rsid w:val="009E4434"/>
    <w:rsid w:val="00A34BDA"/>
    <w:rsid w:val="00A52D3B"/>
    <w:rsid w:val="00A55B5A"/>
    <w:rsid w:val="00A601BC"/>
    <w:rsid w:val="00A86923"/>
    <w:rsid w:val="00AE23F2"/>
    <w:rsid w:val="00AF7549"/>
    <w:rsid w:val="00B3391C"/>
    <w:rsid w:val="00B44B41"/>
    <w:rsid w:val="00B53929"/>
    <w:rsid w:val="00B77575"/>
    <w:rsid w:val="00B81088"/>
    <w:rsid w:val="00BD3955"/>
    <w:rsid w:val="00C06950"/>
    <w:rsid w:val="00C24B45"/>
    <w:rsid w:val="00C5587A"/>
    <w:rsid w:val="00C6217A"/>
    <w:rsid w:val="00C62FA1"/>
    <w:rsid w:val="00C715D0"/>
    <w:rsid w:val="00C842FA"/>
    <w:rsid w:val="00CE1589"/>
    <w:rsid w:val="00CF43FE"/>
    <w:rsid w:val="00CF609B"/>
    <w:rsid w:val="00D00EBA"/>
    <w:rsid w:val="00D101BA"/>
    <w:rsid w:val="00D16E68"/>
    <w:rsid w:val="00D24BCF"/>
    <w:rsid w:val="00D41B32"/>
    <w:rsid w:val="00D738AE"/>
    <w:rsid w:val="00D93C96"/>
    <w:rsid w:val="00D94599"/>
    <w:rsid w:val="00D94683"/>
    <w:rsid w:val="00DF1376"/>
    <w:rsid w:val="00E002A8"/>
    <w:rsid w:val="00E75CAB"/>
    <w:rsid w:val="00E81F71"/>
    <w:rsid w:val="00EB2CA0"/>
    <w:rsid w:val="00ED32F6"/>
    <w:rsid w:val="00ED47E2"/>
    <w:rsid w:val="00ED69AD"/>
    <w:rsid w:val="00ED6E44"/>
    <w:rsid w:val="00EE2DE2"/>
    <w:rsid w:val="00EF44B7"/>
    <w:rsid w:val="00EF6C21"/>
    <w:rsid w:val="00F24748"/>
    <w:rsid w:val="00F73805"/>
    <w:rsid w:val="00FA64E6"/>
    <w:rsid w:val="00FC27BA"/>
    <w:rsid w:val="00FE54EA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napToGrid w:val="0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napToGrid w:val="0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o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ACO Inox</vt:lpstr>
    </vt:vector>
  </TitlesOfParts>
  <Company/>
  <LinksUpToDate>false</LinksUpToDate>
  <CharactersWithSpaces>1284</CharactersWithSpaces>
  <SharedDoc>false</SharedDoc>
  <HLinks>
    <vt:vector size="6" baseType="variant"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mailto:info@aco.be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Inox</dc:title>
  <dc:creator>Fiandaca, Pietro</dc:creator>
  <cp:lastModifiedBy>van Overstraeten, Raphael</cp:lastModifiedBy>
  <cp:revision>2</cp:revision>
  <cp:lastPrinted>2016-06-17T13:45:00Z</cp:lastPrinted>
  <dcterms:created xsi:type="dcterms:W3CDTF">2016-06-17T13:50:00Z</dcterms:created>
  <dcterms:modified xsi:type="dcterms:W3CDTF">2016-06-17T13:50:00Z</dcterms:modified>
</cp:coreProperties>
</file>